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Comic Sans MS" w:cs="Comic Sans MS" w:eastAsia="Comic Sans MS" w:hAnsi="Comic Sans MS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Examining Nutrition Study Guide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Comic Sans MS" w:cs="Comic Sans MS" w:eastAsia="Comic Sans MS" w:hAnsi="Comic Sans MS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Investigations 1-5 </w:t>
      </w:r>
    </w:p>
    <w:p w:rsidR="00000000" w:rsidDel="00000000" w:rsidP="00000000" w:rsidRDefault="00000000" w:rsidRPr="00000000">
      <w:pPr>
        <w:contextualSpacing w:val="0"/>
        <w:jc w:val="left"/>
        <w:rPr>
          <w:rFonts w:ascii="Comic Sans MS" w:cs="Comic Sans MS" w:eastAsia="Comic Sans MS" w:hAnsi="Comic Sans M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Things to Know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Vocabulary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Digestion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Chemical Digestion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Mechanical Digestion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Digestive System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Food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Nutrients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Food Group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Nutrition Label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Serving Size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Daily Value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Carbohydrates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Fats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Proteins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Parts of the Digestive System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MyPlate Food Groups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Examples of what should be on your plate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Short Answer Questions 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Why it is important to include all the food groups on your plate?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jc w:val="left"/>
        <w:rPr>
          <w:rFonts w:ascii="Comic Sans MS" w:cs="Comic Sans MS" w:eastAsia="Comic Sans MS" w:hAnsi="Comic Sans MS"/>
          <w:sz w:val="28"/>
          <w:szCs w:val="28"/>
          <w:u w:val="none"/>
        </w:rPr>
      </w:pPr>
      <w:r w:rsidDel="00000000" w:rsidR="00000000" w:rsidRPr="00000000">
        <w:rPr>
          <w:rFonts w:ascii="Comic Sans MS" w:cs="Comic Sans MS" w:eastAsia="Comic Sans MS" w:hAnsi="Comic Sans MS"/>
          <w:sz w:val="28"/>
          <w:szCs w:val="28"/>
          <w:rtl w:val="0"/>
        </w:rPr>
        <w:t xml:space="preserve">How can you balance unhealthy and healthy foods?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